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A724" w14:textId="315AB523" w:rsidR="009B56E2" w:rsidRPr="009B56E2" w:rsidRDefault="009B56E2" w:rsidP="009B56E2">
      <w:pPr>
        <w:rPr>
          <w:rFonts w:ascii="Calibri" w:hAnsi="Calibri"/>
        </w:rPr>
      </w:pPr>
      <w:r w:rsidRPr="009B56E2">
        <w:rPr>
          <w:rFonts w:ascii="Calibri" w:hAnsi="Calibri"/>
        </w:rPr>
        <w:t>Office of the Chief Information Officer, Washington State</w:t>
      </w:r>
    </w:p>
    <w:p w14:paraId="3559CA17" w14:textId="23357B8C" w:rsidR="009B56E2" w:rsidRPr="009B56E2" w:rsidRDefault="009B56E2" w:rsidP="009B56E2">
      <w:pPr>
        <w:rPr>
          <w:rFonts w:ascii="Calibri" w:hAnsi="Calibri"/>
        </w:rPr>
      </w:pPr>
      <w:r w:rsidRPr="009B56E2">
        <w:rPr>
          <w:rFonts w:ascii="Calibri" w:hAnsi="Calibri"/>
        </w:rPr>
        <w:t>Policy No. 2</w:t>
      </w:r>
      <w:r w:rsidR="003F2C4F">
        <w:rPr>
          <w:rFonts w:ascii="Calibri" w:hAnsi="Calibri"/>
        </w:rPr>
        <w:t>02</w:t>
      </w:r>
      <w:r w:rsidRPr="009B56E2">
        <w:rPr>
          <w:rFonts w:ascii="Calibri" w:hAnsi="Calibri"/>
        </w:rPr>
        <w:t>:  Innovation Exemption</w:t>
      </w:r>
    </w:p>
    <w:p w14:paraId="0305AB26" w14:textId="77777777" w:rsidR="009B56E2" w:rsidRDefault="009B56E2" w:rsidP="009B56E2">
      <w:pPr>
        <w:rPr>
          <w:rFonts w:ascii="Calibri" w:hAnsi="Calibri"/>
          <w:b/>
        </w:rPr>
      </w:pPr>
    </w:p>
    <w:p w14:paraId="0B839238" w14:textId="77777777" w:rsidR="009B56E2" w:rsidRPr="009B56E2" w:rsidRDefault="009B56E2" w:rsidP="009B56E2">
      <w:pPr>
        <w:rPr>
          <w:rFonts w:ascii="Calibri" w:hAnsi="Calibri"/>
          <w:b/>
        </w:rPr>
      </w:pPr>
    </w:p>
    <w:p w14:paraId="0F8D659C" w14:textId="41BFD9EE" w:rsidR="008D58E9" w:rsidRPr="009B56E2" w:rsidRDefault="008D58E9" w:rsidP="009B56E2">
      <w:pPr>
        <w:jc w:val="center"/>
        <w:rPr>
          <w:rFonts w:ascii="Calibri" w:hAnsi="Calibri"/>
          <w:b/>
          <w:sz w:val="28"/>
          <w:szCs w:val="28"/>
        </w:rPr>
      </w:pPr>
      <w:r w:rsidRPr="009B56E2">
        <w:rPr>
          <w:rFonts w:ascii="Calibri" w:hAnsi="Calibri"/>
          <w:b/>
          <w:sz w:val="28"/>
          <w:szCs w:val="28"/>
        </w:rPr>
        <w:t>APPENDIX</w:t>
      </w:r>
      <w:r w:rsidR="00505AF1" w:rsidRPr="009B56E2">
        <w:rPr>
          <w:rFonts w:ascii="Calibri" w:hAnsi="Calibri"/>
          <w:b/>
          <w:sz w:val="28"/>
          <w:szCs w:val="28"/>
        </w:rPr>
        <w:t xml:space="preserve"> A</w:t>
      </w:r>
    </w:p>
    <w:p w14:paraId="42EC881C" w14:textId="072E71FE" w:rsidR="001C1CCB" w:rsidRPr="009B56E2" w:rsidRDefault="001C1CCB" w:rsidP="00344F40">
      <w:pPr>
        <w:jc w:val="center"/>
        <w:rPr>
          <w:rFonts w:ascii="Calibri" w:hAnsi="Calibri"/>
          <w:b/>
          <w:sz w:val="28"/>
          <w:szCs w:val="28"/>
        </w:rPr>
      </w:pPr>
      <w:r w:rsidRPr="009B56E2">
        <w:rPr>
          <w:rFonts w:ascii="Calibri" w:hAnsi="Calibri"/>
          <w:b/>
          <w:sz w:val="28"/>
          <w:szCs w:val="28"/>
        </w:rPr>
        <w:t>Innovation Exemption Criteria</w:t>
      </w:r>
    </w:p>
    <w:p w14:paraId="3E7FD5EF" w14:textId="77777777" w:rsidR="008D58E9" w:rsidRPr="009B56E2" w:rsidRDefault="008D58E9" w:rsidP="008D58E9">
      <w:pPr>
        <w:ind w:left="360" w:hanging="360"/>
        <w:rPr>
          <w:b/>
        </w:rPr>
      </w:pPr>
    </w:p>
    <w:p w14:paraId="09C9F2C4" w14:textId="4AABBF32" w:rsidR="008D58E9" w:rsidRPr="009B56E2" w:rsidRDefault="008D58E9" w:rsidP="009B56E2">
      <w:pPr>
        <w:pStyle w:val="Heading1"/>
        <w:numPr>
          <w:ilvl w:val="0"/>
          <w:numId w:val="41"/>
        </w:numPr>
        <w:jc w:val="left"/>
        <w:rPr>
          <w:rFonts w:ascii="Calibri" w:hAnsi="Calibri"/>
          <w:b/>
          <w:sz w:val="24"/>
          <w:szCs w:val="24"/>
        </w:rPr>
      </w:pPr>
      <w:r w:rsidRPr="009B56E2">
        <w:rPr>
          <w:rFonts w:ascii="Calibri" w:hAnsi="Calibri"/>
          <w:b/>
          <w:sz w:val="24"/>
          <w:szCs w:val="24"/>
        </w:rPr>
        <w:t xml:space="preserve">To qualify for an Innovation </w:t>
      </w:r>
      <w:r w:rsidR="003F2C4F">
        <w:rPr>
          <w:rFonts w:ascii="Calibri" w:hAnsi="Calibri"/>
          <w:b/>
          <w:sz w:val="24"/>
          <w:szCs w:val="24"/>
        </w:rPr>
        <w:t>E</w:t>
      </w:r>
      <w:r w:rsidRPr="009B56E2">
        <w:rPr>
          <w:rFonts w:ascii="Calibri" w:hAnsi="Calibri"/>
          <w:b/>
          <w:sz w:val="24"/>
          <w:szCs w:val="24"/>
        </w:rPr>
        <w:t xml:space="preserve">xemption, </w:t>
      </w:r>
      <w:r w:rsidR="00A74BAD" w:rsidRPr="009B56E2">
        <w:rPr>
          <w:rFonts w:ascii="Calibri" w:hAnsi="Calibri"/>
          <w:b/>
          <w:sz w:val="24"/>
          <w:szCs w:val="24"/>
        </w:rPr>
        <w:t>these are the criteria the OCIO will require agencies to meet</w:t>
      </w:r>
      <w:r w:rsidRPr="009B56E2">
        <w:rPr>
          <w:rFonts w:ascii="Calibri" w:hAnsi="Calibri"/>
          <w:b/>
          <w:sz w:val="24"/>
          <w:szCs w:val="24"/>
        </w:rPr>
        <w:t>:</w:t>
      </w:r>
    </w:p>
    <w:p w14:paraId="0F9867E9" w14:textId="77777777" w:rsidR="009B56E2" w:rsidRPr="009B56E2" w:rsidRDefault="009B56E2" w:rsidP="009B56E2"/>
    <w:p w14:paraId="5288BFB7" w14:textId="64D71F5F" w:rsidR="00397F6D" w:rsidRPr="009B56E2" w:rsidRDefault="00397F6D" w:rsidP="009B56E2">
      <w:pPr>
        <w:pStyle w:val="Heading1"/>
        <w:numPr>
          <w:ilvl w:val="1"/>
          <w:numId w:val="41"/>
        </w:numPr>
        <w:jc w:val="left"/>
        <w:rPr>
          <w:rFonts w:ascii="Calibri" w:hAnsi="Calibri"/>
          <w:sz w:val="24"/>
          <w:szCs w:val="24"/>
        </w:rPr>
      </w:pPr>
      <w:r w:rsidRPr="009B56E2">
        <w:rPr>
          <w:rFonts w:ascii="Calibri" w:hAnsi="Calibri"/>
          <w:sz w:val="24"/>
          <w:szCs w:val="24"/>
        </w:rPr>
        <w:t xml:space="preserve">The purchase enables an agency to introduce new technologies that have yet to find widespread adoption within the state of Washington. </w:t>
      </w:r>
      <w:r w:rsidR="009B56E2">
        <w:rPr>
          <w:rFonts w:ascii="Calibri" w:hAnsi="Calibri"/>
          <w:sz w:val="24"/>
          <w:szCs w:val="24"/>
        </w:rPr>
        <w:br/>
      </w:r>
    </w:p>
    <w:p w14:paraId="4237A042" w14:textId="2BDB7586" w:rsidR="00397F6D" w:rsidRPr="009B56E2" w:rsidRDefault="00397F6D" w:rsidP="009B56E2">
      <w:pPr>
        <w:pStyle w:val="Heading1"/>
        <w:numPr>
          <w:ilvl w:val="1"/>
          <w:numId w:val="41"/>
        </w:numPr>
        <w:jc w:val="left"/>
        <w:rPr>
          <w:rFonts w:ascii="Calibri" w:hAnsi="Calibri"/>
          <w:sz w:val="24"/>
          <w:szCs w:val="24"/>
        </w:rPr>
      </w:pPr>
      <w:r w:rsidRPr="009B56E2">
        <w:rPr>
          <w:rFonts w:ascii="Calibri" w:hAnsi="Calibri"/>
          <w:sz w:val="24"/>
          <w:szCs w:val="24"/>
        </w:rPr>
        <w:t>The purchase must be for less than $100,000.  Only one purchase exemption will be granted per project.</w:t>
      </w:r>
      <w:r w:rsidR="009B56E2">
        <w:rPr>
          <w:rFonts w:ascii="Calibri" w:hAnsi="Calibri"/>
          <w:sz w:val="24"/>
          <w:szCs w:val="24"/>
        </w:rPr>
        <w:br/>
      </w:r>
    </w:p>
    <w:p w14:paraId="632FA353" w14:textId="35998ACF" w:rsidR="00397F6D" w:rsidRPr="009B56E2" w:rsidRDefault="00397F6D" w:rsidP="009B56E2">
      <w:pPr>
        <w:pStyle w:val="Heading1"/>
        <w:numPr>
          <w:ilvl w:val="1"/>
          <w:numId w:val="41"/>
        </w:numPr>
        <w:jc w:val="left"/>
        <w:rPr>
          <w:rFonts w:ascii="Calibri" w:hAnsi="Calibri"/>
          <w:sz w:val="24"/>
          <w:szCs w:val="24"/>
        </w:rPr>
      </w:pPr>
      <w:r w:rsidRPr="009B56E2">
        <w:rPr>
          <w:rFonts w:ascii="Calibri" w:hAnsi="Calibri"/>
          <w:sz w:val="24"/>
          <w:szCs w:val="24"/>
        </w:rPr>
        <w:t>In addition, the purchase must meet at least one of the following criteria:</w:t>
      </w:r>
    </w:p>
    <w:p w14:paraId="0DBBEC3B" w14:textId="77777777" w:rsidR="008D58E9" w:rsidRPr="009B56E2" w:rsidRDefault="008D58E9" w:rsidP="009B56E2">
      <w:pPr>
        <w:pStyle w:val="Heading2"/>
        <w:numPr>
          <w:ilvl w:val="2"/>
          <w:numId w:val="41"/>
        </w:numPr>
        <w:ind w:left="1440" w:hanging="594"/>
        <w:jc w:val="left"/>
        <w:rPr>
          <w:rFonts w:ascii="Calibri" w:hAnsi="Calibri"/>
          <w:b w:val="0"/>
          <w:sz w:val="24"/>
          <w:szCs w:val="24"/>
        </w:rPr>
      </w:pPr>
      <w:r w:rsidRPr="009B56E2">
        <w:rPr>
          <w:rFonts w:ascii="Calibri" w:hAnsi="Calibri"/>
          <w:b w:val="0"/>
          <w:sz w:val="24"/>
          <w:szCs w:val="24"/>
        </w:rPr>
        <w:t xml:space="preserve">The purchase would accelerate efforts to create a more mobile Washington, for citizens, state employees, or both. </w:t>
      </w:r>
    </w:p>
    <w:p w14:paraId="7D624B8D" w14:textId="679184DD" w:rsidR="008D58E9" w:rsidRPr="009B56E2" w:rsidRDefault="008D58E9" w:rsidP="009B56E2">
      <w:pPr>
        <w:pStyle w:val="Heading2"/>
        <w:numPr>
          <w:ilvl w:val="2"/>
          <w:numId w:val="41"/>
        </w:numPr>
        <w:ind w:left="1440" w:hanging="594"/>
        <w:jc w:val="left"/>
        <w:rPr>
          <w:rFonts w:ascii="Calibri" w:hAnsi="Calibri"/>
          <w:b w:val="0"/>
          <w:sz w:val="24"/>
          <w:szCs w:val="24"/>
        </w:rPr>
      </w:pPr>
      <w:r w:rsidRPr="009B56E2">
        <w:rPr>
          <w:rFonts w:ascii="Calibri" w:hAnsi="Calibri"/>
          <w:b w:val="0"/>
          <w:sz w:val="24"/>
          <w:szCs w:val="24"/>
        </w:rPr>
        <w:t xml:space="preserve">The purchase would accelerate the adoption of cloud services, including </w:t>
      </w:r>
      <w:r w:rsidR="00C1022C" w:rsidRPr="009B56E2">
        <w:rPr>
          <w:rFonts w:ascii="Calibri" w:hAnsi="Calibri"/>
          <w:b w:val="0"/>
          <w:sz w:val="24"/>
          <w:szCs w:val="24"/>
        </w:rPr>
        <w:t xml:space="preserve">but not limited to cloud </w:t>
      </w:r>
      <w:r w:rsidRPr="009B56E2">
        <w:rPr>
          <w:rFonts w:ascii="Calibri" w:hAnsi="Calibri"/>
          <w:b w:val="0"/>
          <w:sz w:val="24"/>
          <w:szCs w:val="24"/>
        </w:rPr>
        <w:t>storage</w:t>
      </w:r>
      <w:r w:rsidR="00C1022C" w:rsidRPr="009B56E2">
        <w:rPr>
          <w:rFonts w:ascii="Calibri" w:hAnsi="Calibri"/>
          <w:b w:val="0"/>
          <w:sz w:val="24"/>
          <w:szCs w:val="24"/>
        </w:rPr>
        <w:t>,</w:t>
      </w:r>
      <w:r w:rsidRPr="009B56E2">
        <w:rPr>
          <w:rFonts w:ascii="Calibri" w:hAnsi="Calibri"/>
          <w:b w:val="0"/>
          <w:sz w:val="24"/>
          <w:szCs w:val="24"/>
        </w:rPr>
        <w:t xml:space="preserve"> SaaS, IaaS and PaaS.</w:t>
      </w:r>
    </w:p>
    <w:p w14:paraId="3EF9624C" w14:textId="77777777" w:rsidR="008D58E9" w:rsidRPr="009B56E2" w:rsidRDefault="008D58E9" w:rsidP="009B56E2">
      <w:pPr>
        <w:pStyle w:val="Heading2"/>
        <w:numPr>
          <w:ilvl w:val="2"/>
          <w:numId w:val="41"/>
        </w:numPr>
        <w:ind w:left="1440" w:hanging="594"/>
        <w:jc w:val="left"/>
        <w:rPr>
          <w:rFonts w:ascii="Calibri" w:hAnsi="Calibri"/>
          <w:b w:val="0"/>
          <w:sz w:val="24"/>
          <w:szCs w:val="24"/>
        </w:rPr>
      </w:pPr>
      <w:r w:rsidRPr="009B56E2">
        <w:rPr>
          <w:rFonts w:ascii="Calibri" w:hAnsi="Calibri"/>
          <w:b w:val="0"/>
          <w:sz w:val="24"/>
          <w:szCs w:val="24"/>
        </w:rPr>
        <w:t>The purchase allows for trial deployments that will better inform larger-scale modernization efforts.</w:t>
      </w:r>
    </w:p>
    <w:p w14:paraId="105FA026" w14:textId="35302E87" w:rsidR="00931B72" w:rsidRPr="009B56E2" w:rsidRDefault="00931B72" w:rsidP="009B56E2">
      <w:pPr>
        <w:pStyle w:val="Heading2"/>
        <w:numPr>
          <w:ilvl w:val="2"/>
          <w:numId w:val="41"/>
        </w:numPr>
        <w:ind w:left="1440" w:hanging="594"/>
        <w:jc w:val="left"/>
        <w:rPr>
          <w:rFonts w:ascii="Calibri" w:hAnsi="Calibri"/>
          <w:b w:val="0"/>
          <w:sz w:val="24"/>
          <w:szCs w:val="24"/>
        </w:rPr>
      </w:pPr>
      <w:r w:rsidRPr="009B56E2">
        <w:rPr>
          <w:rFonts w:ascii="Calibri" w:hAnsi="Calibri"/>
          <w:b w:val="0"/>
          <w:sz w:val="24"/>
          <w:szCs w:val="24"/>
        </w:rPr>
        <w:t>The purchase involves adding new capabilities specific to an agency’s business needs.</w:t>
      </w:r>
    </w:p>
    <w:p w14:paraId="1475C8C9" w14:textId="05A49566" w:rsidR="00931B72" w:rsidRPr="009B56E2" w:rsidRDefault="00931B72" w:rsidP="009B56E2">
      <w:pPr>
        <w:pStyle w:val="Heading2"/>
        <w:numPr>
          <w:ilvl w:val="2"/>
          <w:numId w:val="41"/>
        </w:numPr>
        <w:ind w:left="1440" w:hanging="594"/>
        <w:jc w:val="left"/>
        <w:rPr>
          <w:rFonts w:ascii="Calibri" w:hAnsi="Calibri"/>
          <w:b w:val="0"/>
          <w:sz w:val="24"/>
          <w:szCs w:val="24"/>
        </w:rPr>
      </w:pPr>
      <w:r w:rsidRPr="009B56E2">
        <w:rPr>
          <w:rFonts w:ascii="Calibri" w:hAnsi="Calibri"/>
          <w:b w:val="0"/>
          <w:sz w:val="24"/>
          <w:szCs w:val="24"/>
        </w:rPr>
        <w:t>The purchase allows for the retention of professional services to add new capabilities to an agency.</w:t>
      </w:r>
    </w:p>
    <w:p w14:paraId="4CAC1ACD" w14:textId="3DCB0D61" w:rsidR="008D58E9" w:rsidRDefault="008D58E9" w:rsidP="009B56E2">
      <w:pPr>
        <w:pStyle w:val="Heading2"/>
        <w:numPr>
          <w:ilvl w:val="2"/>
          <w:numId w:val="41"/>
        </w:numPr>
        <w:ind w:left="1440" w:hanging="594"/>
        <w:jc w:val="left"/>
        <w:rPr>
          <w:rFonts w:ascii="Calibri" w:hAnsi="Calibri"/>
          <w:b w:val="0"/>
          <w:sz w:val="24"/>
          <w:szCs w:val="24"/>
        </w:rPr>
      </w:pPr>
      <w:r w:rsidRPr="009B56E2">
        <w:rPr>
          <w:rFonts w:ascii="Calibri" w:hAnsi="Calibri"/>
          <w:b w:val="0"/>
          <w:sz w:val="24"/>
          <w:szCs w:val="24"/>
        </w:rPr>
        <w:t>The purchase makes it easier for agencies to engage small businesses who offer solutions</w:t>
      </w:r>
      <w:r w:rsidR="00397F6D" w:rsidRPr="009B56E2">
        <w:rPr>
          <w:rFonts w:ascii="Calibri" w:hAnsi="Calibri"/>
          <w:b w:val="0"/>
          <w:sz w:val="24"/>
          <w:szCs w:val="24"/>
        </w:rPr>
        <w:t>,</w:t>
      </w:r>
      <w:r w:rsidRPr="009B56E2">
        <w:rPr>
          <w:rFonts w:ascii="Calibri" w:hAnsi="Calibri"/>
          <w:b w:val="0"/>
          <w:sz w:val="24"/>
          <w:szCs w:val="24"/>
        </w:rPr>
        <w:t xml:space="preserve"> but lack the existing relationships and resources to effectively compete through the existing procurement process.</w:t>
      </w:r>
    </w:p>
    <w:p w14:paraId="31CD20F3" w14:textId="77777777" w:rsidR="009B56E2" w:rsidRPr="009B56E2" w:rsidRDefault="009B56E2" w:rsidP="009B56E2"/>
    <w:p w14:paraId="2C223041" w14:textId="66E689CE" w:rsidR="00EC732A" w:rsidRPr="009B56E2" w:rsidRDefault="00EC732A" w:rsidP="009B56E2">
      <w:pPr>
        <w:pStyle w:val="Heading1"/>
        <w:numPr>
          <w:ilvl w:val="0"/>
          <w:numId w:val="41"/>
        </w:numPr>
        <w:jc w:val="left"/>
        <w:rPr>
          <w:rFonts w:ascii="Calibri" w:hAnsi="Calibri"/>
          <w:b/>
          <w:sz w:val="24"/>
          <w:szCs w:val="24"/>
        </w:rPr>
      </w:pPr>
      <w:r w:rsidRPr="009B56E2">
        <w:rPr>
          <w:rFonts w:ascii="Calibri" w:hAnsi="Calibri"/>
          <w:b/>
          <w:sz w:val="24"/>
          <w:szCs w:val="24"/>
        </w:rPr>
        <w:t xml:space="preserve">Absent unusual and compelling circumstances, the OCIO will limit its discretion to waive competitive bidding under the Innovation </w:t>
      </w:r>
      <w:r w:rsidR="003F2C4F">
        <w:rPr>
          <w:rFonts w:ascii="Calibri" w:hAnsi="Calibri"/>
          <w:b/>
          <w:sz w:val="24"/>
          <w:szCs w:val="24"/>
        </w:rPr>
        <w:t>E</w:t>
      </w:r>
      <w:r w:rsidRPr="009B56E2">
        <w:rPr>
          <w:rFonts w:ascii="Calibri" w:hAnsi="Calibri"/>
          <w:b/>
          <w:sz w:val="24"/>
          <w:szCs w:val="24"/>
        </w:rPr>
        <w:t>xemption to those projects promoting innovation under one (1) year in duration.</w:t>
      </w:r>
      <w:r w:rsidR="009B56E2">
        <w:rPr>
          <w:rFonts w:ascii="Calibri" w:hAnsi="Calibri"/>
          <w:b/>
          <w:sz w:val="24"/>
          <w:szCs w:val="24"/>
        </w:rPr>
        <w:br/>
      </w:r>
    </w:p>
    <w:p w14:paraId="1913EAC4" w14:textId="27938C39" w:rsidR="00EC732A" w:rsidRDefault="00A74BAD" w:rsidP="009B56E2">
      <w:pPr>
        <w:pStyle w:val="Heading1"/>
        <w:numPr>
          <w:ilvl w:val="1"/>
          <w:numId w:val="41"/>
        </w:numPr>
        <w:jc w:val="left"/>
        <w:rPr>
          <w:rFonts w:ascii="Calibri" w:hAnsi="Calibri"/>
          <w:sz w:val="24"/>
          <w:szCs w:val="24"/>
        </w:rPr>
      </w:pPr>
      <w:r w:rsidRPr="009B56E2">
        <w:rPr>
          <w:rFonts w:ascii="Calibri" w:hAnsi="Calibri"/>
          <w:sz w:val="24"/>
          <w:szCs w:val="24"/>
        </w:rPr>
        <w:t xml:space="preserve">If the project will last more than one year, the agency </w:t>
      </w:r>
      <w:r w:rsidR="00344F40" w:rsidRPr="009B56E2">
        <w:rPr>
          <w:rFonts w:ascii="Calibri" w:hAnsi="Calibri"/>
          <w:sz w:val="24"/>
          <w:szCs w:val="24"/>
        </w:rPr>
        <w:t>must either plan for funding of the project without the Innovation exemption, or provide the OCIO with justification for unusual or compelling circumstances that the exemption should be extended.</w:t>
      </w:r>
    </w:p>
    <w:p w14:paraId="34673F79" w14:textId="77777777" w:rsidR="009B56E2" w:rsidRPr="009B56E2" w:rsidRDefault="009B56E2" w:rsidP="009B56E2"/>
    <w:p w14:paraId="018CF94D" w14:textId="77777777" w:rsidR="008D58E9" w:rsidRPr="009B56E2" w:rsidRDefault="008D58E9" w:rsidP="009B56E2">
      <w:pPr>
        <w:pStyle w:val="Heading1"/>
        <w:numPr>
          <w:ilvl w:val="0"/>
          <w:numId w:val="41"/>
        </w:numPr>
        <w:jc w:val="left"/>
        <w:rPr>
          <w:rFonts w:ascii="Calibri" w:hAnsi="Calibri"/>
          <w:b/>
          <w:sz w:val="24"/>
          <w:szCs w:val="24"/>
        </w:rPr>
      </w:pPr>
      <w:r w:rsidRPr="009B56E2">
        <w:rPr>
          <w:rFonts w:ascii="Calibri" w:hAnsi="Calibri"/>
          <w:b/>
          <w:sz w:val="24"/>
          <w:szCs w:val="24"/>
        </w:rPr>
        <w:t xml:space="preserve">An agency must submit to the OCIO a justification for an Innovation Exemption. </w:t>
      </w:r>
    </w:p>
    <w:p w14:paraId="77FAC52B" w14:textId="77777777" w:rsidR="009B56E2" w:rsidRPr="009B56E2" w:rsidRDefault="009B56E2" w:rsidP="009B56E2"/>
    <w:p w14:paraId="77704544" w14:textId="32E57CAF" w:rsidR="00622110" w:rsidRPr="009B56E2" w:rsidRDefault="00622110" w:rsidP="009B56E2">
      <w:pPr>
        <w:pStyle w:val="Heading1"/>
        <w:numPr>
          <w:ilvl w:val="1"/>
          <w:numId w:val="41"/>
        </w:numPr>
        <w:jc w:val="left"/>
        <w:rPr>
          <w:rFonts w:ascii="Calibri" w:hAnsi="Calibri"/>
          <w:sz w:val="24"/>
          <w:szCs w:val="24"/>
        </w:rPr>
      </w:pPr>
      <w:r w:rsidRPr="009B56E2">
        <w:rPr>
          <w:rFonts w:ascii="Calibri" w:hAnsi="Calibri"/>
          <w:sz w:val="24"/>
          <w:szCs w:val="24"/>
        </w:rPr>
        <w:lastRenderedPageBreak/>
        <w:t>Agency should submit project to</w:t>
      </w:r>
      <w:r w:rsidR="00E640B1">
        <w:rPr>
          <w:rFonts w:ascii="Calibri" w:hAnsi="Calibri"/>
          <w:sz w:val="24"/>
          <w:szCs w:val="24"/>
        </w:rPr>
        <w:t xml:space="preserve"> the Policy and Waiver mailbox at</w:t>
      </w:r>
      <w:bookmarkStart w:id="0" w:name="_GoBack"/>
      <w:bookmarkEnd w:id="0"/>
      <w:r w:rsidRPr="009B56E2">
        <w:rPr>
          <w:rFonts w:ascii="Calibri" w:hAnsi="Calibri"/>
          <w:sz w:val="24"/>
          <w:szCs w:val="24"/>
        </w:rPr>
        <w:t xml:space="preserve"> </w:t>
      </w:r>
      <w:hyperlink r:id="rId7" w:history="1">
        <w:r w:rsidR="00E640B1">
          <w:rPr>
            <w:rStyle w:val="Hyperlink"/>
            <w:rFonts w:ascii="Calibri" w:hAnsi="Calibri"/>
            <w:sz w:val="24"/>
            <w:szCs w:val="24"/>
          </w:rPr>
          <w:t>ocio.po</w:t>
        </w:r>
        <w:r w:rsidR="00E640B1">
          <w:rPr>
            <w:rStyle w:val="Hyperlink"/>
            <w:rFonts w:ascii="Calibri" w:hAnsi="Calibri"/>
            <w:sz w:val="24"/>
            <w:szCs w:val="24"/>
          </w:rPr>
          <w:t>l</w:t>
        </w:r>
        <w:r w:rsidR="00E640B1">
          <w:rPr>
            <w:rStyle w:val="Hyperlink"/>
            <w:rFonts w:ascii="Calibri" w:hAnsi="Calibri"/>
            <w:sz w:val="24"/>
            <w:szCs w:val="24"/>
          </w:rPr>
          <w:t>icy@ocio.wa.gov</w:t>
        </w:r>
      </w:hyperlink>
      <w:r w:rsidR="003F2C4F">
        <w:rPr>
          <w:rFonts w:ascii="Calibri" w:hAnsi="Calibri"/>
          <w:sz w:val="24"/>
          <w:szCs w:val="24"/>
        </w:rPr>
        <w:t>.</w:t>
      </w:r>
      <w:r w:rsidR="009B56E2">
        <w:rPr>
          <w:rFonts w:ascii="Calibri" w:hAnsi="Calibri"/>
          <w:sz w:val="24"/>
          <w:szCs w:val="24"/>
        </w:rPr>
        <w:br/>
      </w:r>
    </w:p>
    <w:p w14:paraId="1844B5BF" w14:textId="77777777" w:rsidR="008D58E9" w:rsidRPr="009B56E2" w:rsidRDefault="008D58E9" w:rsidP="009B56E2">
      <w:pPr>
        <w:pStyle w:val="Heading1"/>
        <w:numPr>
          <w:ilvl w:val="1"/>
          <w:numId w:val="41"/>
        </w:numPr>
        <w:jc w:val="left"/>
        <w:rPr>
          <w:rFonts w:ascii="Calibri" w:hAnsi="Calibri"/>
          <w:sz w:val="24"/>
          <w:szCs w:val="24"/>
        </w:rPr>
      </w:pPr>
      <w:r w:rsidRPr="009B56E2">
        <w:rPr>
          <w:rFonts w:ascii="Calibri" w:hAnsi="Calibri"/>
          <w:sz w:val="24"/>
          <w:szCs w:val="24"/>
        </w:rPr>
        <w:t>The request for exemption must include:</w:t>
      </w:r>
    </w:p>
    <w:p w14:paraId="1EFD31C3" w14:textId="77777777" w:rsidR="008D58E9" w:rsidRPr="009B56E2" w:rsidRDefault="008D58E9" w:rsidP="009B56E2">
      <w:pPr>
        <w:pStyle w:val="Heading2"/>
        <w:numPr>
          <w:ilvl w:val="2"/>
          <w:numId w:val="41"/>
        </w:numPr>
        <w:ind w:left="1530" w:hanging="684"/>
        <w:jc w:val="left"/>
        <w:rPr>
          <w:rFonts w:ascii="Calibri" w:hAnsi="Calibri"/>
          <w:b w:val="0"/>
          <w:sz w:val="24"/>
          <w:szCs w:val="24"/>
        </w:rPr>
      </w:pPr>
      <w:r w:rsidRPr="009B56E2">
        <w:rPr>
          <w:rFonts w:ascii="Calibri" w:hAnsi="Calibri"/>
          <w:b w:val="0"/>
          <w:sz w:val="24"/>
          <w:szCs w:val="24"/>
        </w:rPr>
        <w:t>A project description.</w:t>
      </w:r>
    </w:p>
    <w:p w14:paraId="726ACEDB" w14:textId="77777777" w:rsidR="008D58E9" w:rsidRPr="009B56E2" w:rsidRDefault="008D58E9" w:rsidP="009B56E2">
      <w:pPr>
        <w:pStyle w:val="Heading2"/>
        <w:numPr>
          <w:ilvl w:val="2"/>
          <w:numId w:val="41"/>
        </w:numPr>
        <w:ind w:left="1530" w:hanging="684"/>
        <w:jc w:val="left"/>
        <w:rPr>
          <w:rFonts w:ascii="Calibri" w:hAnsi="Calibri"/>
          <w:b w:val="0"/>
          <w:sz w:val="24"/>
          <w:szCs w:val="24"/>
        </w:rPr>
      </w:pPr>
      <w:r w:rsidRPr="009B56E2">
        <w:rPr>
          <w:rFonts w:ascii="Calibri" w:hAnsi="Calibri"/>
          <w:b w:val="0"/>
          <w:sz w:val="24"/>
          <w:szCs w:val="24"/>
        </w:rPr>
        <w:t xml:space="preserve">A description of the specific purchase to be made, including cost.  </w:t>
      </w:r>
    </w:p>
    <w:p w14:paraId="068E94EC" w14:textId="77777777" w:rsidR="008D58E9" w:rsidRPr="009B56E2" w:rsidRDefault="008D58E9" w:rsidP="003F2C4F">
      <w:pPr>
        <w:pStyle w:val="Heading2"/>
        <w:numPr>
          <w:ilvl w:val="2"/>
          <w:numId w:val="41"/>
        </w:numPr>
        <w:ind w:left="1530" w:hanging="720"/>
        <w:jc w:val="left"/>
        <w:rPr>
          <w:rFonts w:ascii="Calibri" w:hAnsi="Calibri"/>
          <w:b w:val="0"/>
          <w:sz w:val="24"/>
          <w:szCs w:val="24"/>
        </w:rPr>
      </w:pPr>
      <w:r w:rsidRPr="009B56E2">
        <w:rPr>
          <w:rFonts w:ascii="Calibri" w:hAnsi="Calibri"/>
          <w:b w:val="0"/>
          <w:sz w:val="24"/>
          <w:szCs w:val="24"/>
        </w:rPr>
        <w:t>And, at a minimum, must describe:</w:t>
      </w:r>
    </w:p>
    <w:p w14:paraId="26F3C614" w14:textId="71F4C885" w:rsidR="008D58E9" w:rsidRPr="009B56E2" w:rsidRDefault="008D58E9" w:rsidP="003F2C4F">
      <w:pPr>
        <w:pStyle w:val="Heading3"/>
        <w:numPr>
          <w:ilvl w:val="0"/>
          <w:numId w:val="44"/>
        </w:numPr>
        <w:spacing w:before="0" w:after="0"/>
        <w:ind w:left="2340"/>
        <w:jc w:val="left"/>
        <w:rPr>
          <w:rFonts w:ascii="Calibri" w:hAnsi="Calibri"/>
          <w:b w:val="0"/>
          <w:szCs w:val="24"/>
        </w:rPr>
      </w:pPr>
      <w:r w:rsidRPr="009B56E2">
        <w:rPr>
          <w:rFonts w:ascii="Calibri" w:hAnsi="Calibri"/>
          <w:b w:val="0"/>
          <w:szCs w:val="24"/>
        </w:rPr>
        <w:t>Lead contact for project</w:t>
      </w:r>
      <w:r w:rsidR="00344F40" w:rsidRPr="009B56E2">
        <w:rPr>
          <w:rFonts w:ascii="Calibri" w:hAnsi="Calibri"/>
          <w:b w:val="0"/>
          <w:szCs w:val="24"/>
        </w:rPr>
        <w:t>;</w:t>
      </w:r>
    </w:p>
    <w:p w14:paraId="7102A469" w14:textId="77777777" w:rsidR="008D58E9" w:rsidRPr="009B56E2" w:rsidRDefault="008D58E9" w:rsidP="003F2C4F">
      <w:pPr>
        <w:pStyle w:val="Heading3"/>
        <w:numPr>
          <w:ilvl w:val="0"/>
          <w:numId w:val="44"/>
        </w:numPr>
        <w:spacing w:before="0" w:after="0"/>
        <w:ind w:left="2340"/>
        <w:jc w:val="left"/>
        <w:rPr>
          <w:rFonts w:ascii="Calibri" w:hAnsi="Calibri"/>
          <w:b w:val="0"/>
          <w:szCs w:val="24"/>
        </w:rPr>
      </w:pPr>
      <w:r w:rsidRPr="009B56E2">
        <w:rPr>
          <w:rFonts w:ascii="Calibri" w:hAnsi="Calibri"/>
          <w:b w:val="0"/>
          <w:szCs w:val="24"/>
        </w:rPr>
        <w:t>How the purchase promotes innovation and/or modernization;</w:t>
      </w:r>
    </w:p>
    <w:p w14:paraId="0D6A445D" w14:textId="77777777" w:rsidR="008D58E9" w:rsidRPr="009B56E2" w:rsidRDefault="008D58E9" w:rsidP="003F2C4F">
      <w:pPr>
        <w:pStyle w:val="Heading3"/>
        <w:numPr>
          <w:ilvl w:val="0"/>
          <w:numId w:val="44"/>
        </w:numPr>
        <w:spacing w:before="0" w:after="0"/>
        <w:ind w:left="2340"/>
        <w:jc w:val="left"/>
        <w:rPr>
          <w:rFonts w:ascii="Calibri" w:hAnsi="Calibri"/>
          <w:b w:val="0"/>
          <w:szCs w:val="24"/>
        </w:rPr>
      </w:pPr>
      <w:r w:rsidRPr="009B56E2">
        <w:rPr>
          <w:rFonts w:ascii="Calibri" w:hAnsi="Calibri"/>
          <w:b w:val="0"/>
          <w:szCs w:val="24"/>
        </w:rPr>
        <w:t>What implementation resources are currently in place;</w:t>
      </w:r>
    </w:p>
    <w:p w14:paraId="40CD4CC5" w14:textId="35DA3CEA" w:rsidR="008D58E9" w:rsidRPr="009B56E2" w:rsidRDefault="008D58E9" w:rsidP="003F2C4F">
      <w:pPr>
        <w:pStyle w:val="Heading3"/>
        <w:numPr>
          <w:ilvl w:val="0"/>
          <w:numId w:val="44"/>
        </w:numPr>
        <w:spacing w:before="0" w:after="0"/>
        <w:ind w:left="2340"/>
        <w:jc w:val="left"/>
        <w:rPr>
          <w:rFonts w:ascii="Calibri" w:hAnsi="Calibri"/>
          <w:b w:val="0"/>
          <w:szCs w:val="24"/>
        </w:rPr>
      </w:pPr>
      <w:r w:rsidRPr="009B56E2">
        <w:rPr>
          <w:rFonts w:ascii="Calibri" w:hAnsi="Calibri"/>
          <w:b w:val="0"/>
          <w:szCs w:val="24"/>
        </w:rPr>
        <w:t xml:space="preserve">How success will be measured and a timeline for evaluation, including the date when a summary report on results </w:t>
      </w:r>
      <w:r w:rsidR="00931B72" w:rsidRPr="009B56E2">
        <w:rPr>
          <w:rFonts w:ascii="Calibri" w:hAnsi="Calibri"/>
          <w:b w:val="0"/>
          <w:szCs w:val="24"/>
        </w:rPr>
        <w:t>is expected to be</w:t>
      </w:r>
      <w:r w:rsidRPr="009B56E2">
        <w:rPr>
          <w:rFonts w:ascii="Calibri" w:hAnsi="Calibri"/>
          <w:b w:val="0"/>
          <w:szCs w:val="24"/>
        </w:rPr>
        <w:t xml:space="preserve"> completed.  (must be within one </w:t>
      </w:r>
      <w:r w:rsidR="00931B72" w:rsidRPr="009B56E2">
        <w:rPr>
          <w:rFonts w:ascii="Calibri" w:hAnsi="Calibri"/>
          <w:b w:val="0"/>
          <w:szCs w:val="24"/>
        </w:rPr>
        <w:t>month</w:t>
      </w:r>
      <w:r w:rsidRPr="009B56E2">
        <w:rPr>
          <w:rFonts w:ascii="Calibri" w:hAnsi="Calibri"/>
          <w:b w:val="0"/>
          <w:szCs w:val="24"/>
        </w:rPr>
        <w:t xml:space="preserve"> of </w:t>
      </w:r>
      <w:r w:rsidR="00931B72" w:rsidRPr="009B56E2">
        <w:rPr>
          <w:rFonts w:ascii="Calibri" w:hAnsi="Calibri"/>
          <w:b w:val="0"/>
          <w:szCs w:val="24"/>
        </w:rPr>
        <w:t>project completion</w:t>
      </w:r>
      <w:r w:rsidRPr="009B56E2">
        <w:rPr>
          <w:rFonts w:ascii="Calibri" w:hAnsi="Calibri"/>
          <w:b w:val="0"/>
          <w:szCs w:val="24"/>
        </w:rPr>
        <w:t>.)</w:t>
      </w:r>
    </w:p>
    <w:p w14:paraId="1F07091F" w14:textId="68203357" w:rsidR="008D58E9" w:rsidRPr="009B56E2" w:rsidRDefault="008D58E9" w:rsidP="009B56E2">
      <w:pPr>
        <w:pStyle w:val="Heading2"/>
        <w:numPr>
          <w:ilvl w:val="1"/>
          <w:numId w:val="41"/>
        </w:numPr>
        <w:jc w:val="left"/>
        <w:rPr>
          <w:rFonts w:ascii="Calibri" w:hAnsi="Calibri"/>
          <w:b w:val="0"/>
          <w:sz w:val="24"/>
          <w:szCs w:val="24"/>
        </w:rPr>
      </w:pPr>
      <w:r w:rsidRPr="009B56E2">
        <w:rPr>
          <w:rFonts w:ascii="Calibri" w:hAnsi="Calibri"/>
          <w:b w:val="0"/>
          <w:sz w:val="24"/>
          <w:szCs w:val="24"/>
        </w:rPr>
        <w:t xml:space="preserve">Approval from </w:t>
      </w:r>
      <w:r w:rsidR="009B56E2" w:rsidRPr="009B56E2">
        <w:rPr>
          <w:rFonts w:ascii="Calibri" w:hAnsi="Calibri"/>
          <w:b w:val="0"/>
          <w:sz w:val="24"/>
          <w:szCs w:val="24"/>
        </w:rPr>
        <w:t xml:space="preserve">the </w:t>
      </w:r>
      <w:r w:rsidRPr="009B56E2">
        <w:rPr>
          <w:rFonts w:ascii="Calibri" w:hAnsi="Calibri"/>
          <w:b w:val="0"/>
          <w:sz w:val="24"/>
          <w:szCs w:val="24"/>
        </w:rPr>
        <w:t xml:space="preserve">agency </w:t>
      </w:r>
      <w:r w:rsidR="009B56E2">
        <w:rPr>
          <w:rFonts w:ascii="Calibri" w:hAnsi="Calibri"/>
          <w:b w:val="0"/>
          <w:sz w:val="24"/>
          <w:szCs w:val="24"/>
        </w:rPr>
        <w:t>head.</w:t>
      </w:r>
      <w:r w:rsidR="009B56E2">
        <w:rPr>
          <w:rFonts w:ascii="Calibri" w:hAnsi="Calibri"/>
          <w:b w:val="0"/>
          <w:sz w:val="24"/>
          <w:szCs w:val="24"/>
        </w:rPr>
        <w:br/>
      </w:r>
    </w:p>
    <w:p w14:paraId="27116A06" w14:textId="71364641" w:rsidR="00931B72" w:rsidRPr="009B56E2" w:rsidRDefault="008D58E9" w:rsidP="009B56E2">
      <w:pPr>
        <w:pStyle w:val="Heading1"/>
        <w:numPr>
          <w:ilvl w:val="0"/>
          <w:numId w:val="41"/>
        </w:numPr>
        <w:jc w:val="left"/>
        <w:rPr>
          <w:rFonts w:ascii="Calibri" w:hAnsi="Calibri"/>
          <w:b/>
          <w:sz w:val="24"/>
          <w:szCs w:val="24"/>
        </w:rPr>
      </w:pPr>
      <w:r w:rsidRPr="009B56E2">
        <w:rPr>
          <w:rFonts w:ascii="Calibri" w:hAnsi="Calibri"/>
          <w:b/>
          <w:sz w:val="24"/>
          <w:szCs w:val="24"/>
        </w:rPr>
        <w:t xml:space="preserve">The process for evaluating Innovation </w:t>
      </w:r>
      <w:r w:rsidR="009F3B70">
        <w:rPr>
          <w:rFonts w:ascii="Calibri" w:hAnsi="Calibri"/>
          <w:b/>
          <w:sz w:val="24"/>
          <w:szCs w:val="24"/>
        </w:rPr>
        <w:t>E</w:t>
      </w:r>
      <w:r w:rsidRPr="009B56E2">
        <w:rPr>
          <w:rFonts w:ascii="Calibri" w:hAnsi="Calibri"/>
          <w:b/>
          <w:sz w:val="24"/>
          <w:szCs w:val="24"/>
        </w:rPr>
        <w:t>xemption requests will be managed by the OCIO.</w:t>
      </w:r>
    </w:p>
    <w:sectPr w:rsidR="00931B72" w:rsidRPr="009B56E2" w:rsidSect="009B56E2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CACD9" w14:textId="77777777" w:rsidR="0088311C" w:rsidRDefault="0088311C" w:rsidP="004708BA">
      <w:r>
        <w:separator/>
      </w:r>
    </w:p>
    <w:p w14:paraId="01EFC027" w14:textId="77777777" w:rsidR="0088311C" w:rsidRDefault="0088311C"/>
  </w:endnote>
  <w:endnote w:type="continuationSeparator" w:id="0">
    <w:p w14:paraId="748DCCA0" w14:textId="77777777" w:rsidR="0088311C" w:rsidRDefault="0088311C" w:rsidP="004708BA">
      <w:r>
        <w:continuationSeparator/>
      </w:r>
    </w:p>
    <w:p w14:paraId="7EF0102E" w14:textId="77777777" w:rsidR="0088311C" w:rsidRDefault="00883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20"/>
        <w:szCs w:val="20"/>
      </w:rPr>
      <w:id w:val="4743168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47431682"/>
          <w:docPartObj>
            <w:docPartGallery w:val="Page Numbers (Top of Page)"/>
            <w:docPartUnique/>
          </w:docPartObj>
        </w:sdtPr>
        <w:sdtEndPr/>
        <w:sdtContent>
          <w:p w14:paraId="608886AB" w14:textId="77777777" w:rsidR="00811EE9" w:rsidRPr="009C2911" w:rsidRDefault="00811EE9" w:rsidP="00140886">
            <w:pPr>
              <w:pStyle w:val="Footer"/>
              <w:pBdr>
                <w:top w:val="single" w:sz="12" w:space="1" w:color="1F497D" w:themeColor="text2"/>
              </w:pBdr>
              <w:jc w:val="right"/>
              <w:rPr>
                <w:rFonts w:cs="Arial"/>
                <w:sz w:val="20"/>
                <w:szCs w:val="20"/>
              </w:rPr>
            </w:pPr>
            <w:r w:rsidRPr="009C2911">
              <w:rPr>
                <w:rFonts w:cs="Arial"/>
                <w:sz w:val="20"/>
                <w:szCs w:val="20"/>
              </w:rPr>
              <w:t xml:space="preserve">Page </w:t>
            </w:r>
            <w:r w:rsidR="00F820AF" w:rsidRPr="009C2911">
              <w:rPr>
                <w:rFonts w:cs="Arial"/>
                <w:sz w:val="20"/>
                <w:szCs w:val="20"/>
              </w:rPr>
              <w:fldChar w:fldCharType="begin"/>
            </w:r>
            <w:r w:rsidRPr="009C2911">
              <w:rPr>
                <w:rFonts w:cs="Arial"/>
                <w:sz w:val="20"/>
                <w:szCs w:val="20"/>
              </w:rPr>
              <w:instrText xml:space="preserve"> PAGE </w:instrText>
            </w:r>
            <w:r w:rsidR="00F820AF" w:rsidRPr="009C2911">
              <w:rPr>
                <w:rFonts w:cs="Arial"/>
                <w:sz w:val="20"/>
                <w:szCs w:val="20"/>
              </w:rPr>
              <w:fldChar w:fldCharType="separate"/>
            </w:r>
            <w:r w:rsidR="00E640B1">
              <w:rPr>
                <w:rFonts w:cs="Arial"/>
                <w:noProof/>
                <w:sz w:val="20"/>
                <w:szCs w:val="20"/>
              </w:rPr>
              <w:t>2</w:t>
            </w:r>
            <w:r w:rsidR="00F820AF" w:rsidRPr="009C2911">
              <w:rPr>
                <w:rFonts w:cs="Arial"/>
                <w:sz w:val="20"/>
                <w:szCs w:val="20"/>
              </w:rPr>
              <w:fldChar w:fldCharType="end"/>
            </w:r>
            <w:r w:rsidRPr="009C2911">
              <w:rPr>
                <w:rFonts w:cs="Arial"/>
                <w:sz w:val="20"/>
                <w:szCs w:val="20"/>
              </w:rPr>
              <w:t xml:space="preserve"> of </w:t>
            </w:r>
            <w:r w:rsidR="00F820AF" w:rsidRPr="009C2911">
              <w:rPr>
                <w:rFonts w:cs="Arial"/>
                <w:sz w:val="20"/>
                <w:szCs w:val="20"/>
              </w:rPr>
              <w:fldChar w:fldCharType="begin"/>
            </w:r>
            <w:r w:rsidRPr="009C2911">
              <w:rPr>
                <w:rFonts w:cs="Arial"/>
                <w:sz w:val="20"/>
                <w:szCs w:val="20"/>
              </w:rPr>
              <w:instrText xml:space="preserve"> NUMPAGES  </w:instrText>
            </w:r>
            <w:r w:rsidR="00F820AF" w:rsidRPr="009C2911">
              <w:rPr>
                <w:rFonts w:cs="Arial"/>
                <w:sz w:val="20"/>
                <w:szCs w:val="20"/>
              </w:rPr>
              <w:fldChar w:fldCharType="separate"/>
            </w:r>
            <w:r w:rsidR="00E640B1">
              <w:rPr>
                <w:rFonts w:cs="Arial"/>
                <w:noProof/>
                <w:sz w:val="20"/>
                <w:szCs w:val="20"/>
              </w:rPr>
              <w:t>2</w:t>
            </w:r>
            <w:r w:rsidR="00F820AF" w:rsidRPr="009C2911">
              <w:rPr>
                <w:rFonts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1DFC1" w14:textId="77777777" w:rsidR="00811EE9" w:rsidRPr="009C2911" w:rsidRDefault="00811EE9" w:rsidP="009C2911">
    <w:pPr>
      <w:pStyle w:val="Footer"/>
      <w:pBdr>
        <w:top w:val="single" w:sz="12" w:space="1" w:color="1F497D" w:themeColor="text2"/>
      </w:pBdr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9F3BB" w14:textId="77777777" w:rsidR="0088311C" w:rsidRDefault="0088311C" w:rsidP="004708BA">
      <w:r>
        <w:separator/>
      </w:r>
    </w:p>
    <w:p w14:paraId="77782280" w14:textId="77777777" w:rsidR="0088311C" w:rsidRDefault="0088311C"/>
  </w:footnote>
  <w:footnote w:type="continuationSeparator" w:id="0">
    <w:p w14:paraId="15D798A5" w14:textId="77777777" w:rsidR="0088311C" w:rsidRDefault="0088311C" w:rsidP="004708BA">
      <w:r>
        <w:continuationSeparator/>
      </w:r>
    </w:p>
    <w:p w14:paraId="0B07B1C9" w14:textId="77777777" w:rsidR="0088311C" w:rsidRDefault="008831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1384B" w14:textId="77777777" w:rsidR="00811EE9" w:rsidRDefault="00811EE9">
    <w:pPr>
      <w:pStyle w:val="Header"/>
      <w:rPr>
        <w:sz w:val="20"/>
        <w:szCs w:val="20"/>
      </w:rPr>
    </w:pPr>
    <w:r w:rsidRPr="004708BA">
      <w:rPr>
        <w:sz w:val="20"/>
        <w:szCs w:val="20"/>
      </w:rPr>
      <w:t>Office of the Chief Information Officer</w:t>
    </w:r>
    <w:r>
      <w:rPr>
        <w:sz w:val="20"/>
        <w:szCs w:val="20"/>
      </w:rPr>
      <w:t>, Washington State</w:t>
    </w:r>
  </w:p>
  <w:p w14:paraId="16E94E32" w14:textId="4297E9BA" w:rsidR="00811EE9" w:rsidRDefault="00811EE9" w:rsidP="004708BA">
    <w:pPr>
      <w:pStyle w:val="Default"/>
      <w:rPr>
        <w:sz w:val="20"/>
      </w:rPr>
    </w:pPr>
    <w:r>
      <w:rPr>
        <w:sz w:val="20"/>
      </w:rPr>
      <w:t xml:space="preserve">Policy No. </w:t>
    </w:r>
    <w:r w:rsidR="00505AF1">
      <w:rPr>
        <w:sz w:val="20"/>
      </w:rPr>
      <w:t>2</w:t>
    </w:r>
    <w:r w:rsidR="003F2C4F">
      <w:rPr>
        <w:sz w:val="20"/>
      </w:rPr>
      <w:t>02</w:t>
    </w:r>
    <w:r>
      <w:rPr>
        <w:sz w:val="20"/>
      </w:rPr>
      <w:t xml:space="preserve">:  </w:t>
    </w:r>
    <w:r w:rsidR="00505AF1">
      <w:rPr>
        <w:sz w:val="20"/>
      </w:rPr>
      <w:t>Innovation Exemption</w:t>
    </w:r>
  </w:p>
  <w:p w14:paraId="613F24C6" w14:textId="7AEDDDF9" w:rsidR="009B56E2" w:rsidRDefault="009B56E2" w:rsidP="004708BA">
    <w:pPr>
      <w:pStyle w:val="Default"/>
      <w:rPr>
        <w:sz w:val="20"/>
      </w:rPr>
    </w:pPr>
    <w:r>
      <w:rPr>
        <w:sz w:val="20"/>
      </w:rPr>
      <w:t>Appendix A – Innovation Exemption Criteria</w:t>
    </w:r>
  </w:p>
  <w:p w14:paraId="0F698971" w14:textId="77777777" w:rsidR="00AE7125" w:rsidRPr="004708BA" w:rsidRDefault="00AE7125" w:rsidP="004708BA">
    <w:pPr>
      <w:pStyle w:val="Default"/>
      <w:rPr>
        <w:sz w:val="20"/>
      </w:rPr>
    </w:pPr>
  </w:p>
  <w:p w14:paraId="5ECA6D25" w14:textId="77777777" w:rsidR="00811EE9" w:rsidRDefault="00811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AA256C"/>
    <w:multiLevelType w:val="hybridMultilevel"/>
    <w:tmpl w:val="E1D9ABC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FE5299"/>
    <w:multiLevelType w:val="hybridMultilevel"/>
    <w:tmpl w:val="ECA70B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76292"/>
    <w:multiLevelType w:val="hybridMultilevel"/>
    <w:tmpl w:val="89842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123BB0"/>
    <w:multiLevelType w:val="hybridMultilevel"/>
    <w:tmpl w:val="013E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D0033B"/>
    <w:multiLevelType w:val="hybridMultilevel"/>
    <w:tmpl w:val="177C5A08"/>
    <w:lvl w:ilvl="0" w:tplc="B0D8D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403BD9"/>
    <w:multiLevelType w:val="hybridMultilevel"/>
    <w:tmpl w:val="559C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92D49"/>
    <w:multiLevelType w:val="hybridMultilevel"/>
    <w:tmpl w:val="EC30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823C7"/>
    <w:multiLevelType w:val="hybridMultilevel"/>
    <w:tmpl w:val="8B6C4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6C5401"/>
    <w:multiLevelType w:val="hybridMultilevel"/>
    <w:tmpl w:val="BCF0FF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0B5CD8"/>
    <w:multiLevelType w:val="hybridMultilevel"/>
    <w:tmpl w:val="9DC41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8D4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C7BBA"/>
    <w:multiLevelType w:val="hybridMultilevel"/>
    <w:tmpl w:val="D5165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0666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EA0659"/>
    <w:multiLevelType w:val="hybridMultilevel"/>
    <w:tmpl w:val="AC36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84D0C"/>
    <w:multiLevelType w:val="multilevel"/>
    <w:tmpl w:val="28CA4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682B89"/>
    <w:multiLevelType w:val="hybridMultilevel"/>
    <w:tmpl w:val="BB344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902860"/>
    <w:multiLevelType w:val="hybridMultilevel"/>
    <w:tmpl w:val="55A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34A50"/>
    <w:multiLevelType w:val="hybridMultilevel"/>
    <w:tmpl w:val="40F2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752CE"/>
    <w:multiLevelType w:val="hybridMultilevel"/>
    <w:tmpl w:val="FF7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C54BB"/>
    <w:multiLevelType w:val="hybridMultilevel"/>
    <w:tmpl w:val="E48A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36017"/>
    <w:multiLevelType w:val="hybridMultilevel"/>
    <w:tmpl w:val="3008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11893"/>
    <w:multiLevelType w:val="hybridMultilevel"/>
    <w:tmpl w:val="C024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450E"/>
    <w:multiLevelType w:val="hybridMultilevel"/>
    <w:tmpl w:val="49A094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91E4771"/>
    <w:multiLevelType w:val="hybridMultilevel"/>
    <w:tmpl w:val="D616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61620"/>
    <w:multiLevelType w:val="hybridMultilevel"/>
    <w:tmpl w:val="6A5013A6"/>
    <w:lvl w:ilvl="0" w:tplc="B0D8D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4CD2"/>
    <w:multiLevelType w:val="hybridMultilevel"/>
    <w:tmpl w:val="C994A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81188"/>
    <w:multiLevelType w:val="multilevel"/>
    <w:tmpl w:val="8B665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EB621B"/>
    <w:multiLevelType w:val="hybridMultilevel"/>
    <w:tmpl w:val="D8D027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B08121C"/>
    <w:multiLevelType w:val="multilevel"/>
    <w:tmpl w:val="22F8CDB8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pStyle w:val="ListParagraph2"/>
      <w:lvlText w:val="%1.%2."/>
      <w:lvlJc w:val="left"/>
      <w:pPr>
        <w:ind w:left="67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7613E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3FA4444"/>
    <w:multiLevelType w:val="hybridMultilevel"/>
    <w:tmpl w:val="446EB5DC"/>
    <w:lvl w:ilvl="0" w:tplc="85325322">
      <w:start w:val="1"/>
      <w:numFmt w:val="bullet"/>
      <w:pStyle w:val="Listparagraph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54E31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E716EF"/>
    <w:multiLevelType w:val="hybridMultilevel"/>
    <w:tmpl w:val="1186BE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6342DD5"/>
    <w:multiLevelType w:val="hybridMultilevel"/>
    <w:tmpl w:val="75B0895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C63516C"/>
    <w:multiLevelType w:val="multilevel"/>
    <w:tmpl w:val="E1924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F8EFE98"/>
    <w:multiLevelType w:val="hybridMultilevel"/>
    <w:tmpl w:val="9B75BB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4F112BB"/>
    <w:multiLevelType w:val="hybridMultilevel"/>
    <w:tmpl w:val="A1F2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C3755"/>
    <w:multiLevelType w:val="hybridMultilevel"/>
    <w:tmpl w:val="0B3096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760638C"/>
    <w:multiLevelType w:val="hybridMultilevel"/>
    <w:tmpl w:val="847E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32E46"/>
    <w:multiLevelType w:val="hybridMultilevel"/>
    <w:tmpl w:val="D0FC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56DE8"/>
    <w:multiLevelType w:val="hybridMultilevel"/>
    <w:tmpl w:val="EFFE7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0"/>
  </w:num>
  <w:num w:numId="4">
    <w:abstractNumId w:val="32"/>
  </w:num>
  <w:num w:numId="5">
    <w:abstractNumId w:val="21"/>
  </w:num>
  <w:num w:numId="6">
    <w:abstractNumId w:val="8"/>
  </w:num>
  <w:num w:numId="7">
    <w:abstractNumId w:val="30"/>
  </w:num>
  <w:num w:numId="8">
    <w:abstractNumId w:val="4"/>
  </w:num>
  <w:num w:numId="9">
    <w:abstractNumId w:val="23"/>
  </w:num>
  <w:num w:numId="10">
    <w:abstractNumId w:val="9"/>
  </w:num>
  <w:num w:numId="11">
    <w:abstractNumId w:val="39"/>
  </w:num>
  <w:num w:numId="12">
    <w:abstractNumId w:val="19"/>
  </w:num>
  <w:num w:numId="13">
    <w:abstractNumId w:val="18"/>
  </w:num>
  <w:num w:numId="14">
    <w:abstractNumId w:val="14"/>
  </w:num>
  <w:num w:numId="15">
    <w:abstractNumId w:val="5"/>
  </w:num>
  <w:num w:numId="16">
    <w:abstractNumId w:val="15"/>
  </w:num>
  <w:num w:numId="17">
    <w:abstractNumId w:val="20"/>
  </w:num>
  <w:num w:numId="18">
    <w:abstractNumId w:val="3"/>
  </w:num>
  <w:num w:numId="19">
    <w:abstractNumId w:val="7"/>
  </w:num>
  <w:num w:numId="20">
    <w:abstractNumId w:val="6"/>
  </w:num>
  <w:num w:numId="21">
    <w:abstractNumId w:val="33"/>
  </w:num>
  <w:num w:numId="22">
    <w:abstractNumId w:val="13"/>
  </w:num>
  <w:num w:numId="23">
    <w:abstractNumId w:val="27"/>
  </w:num>
  <w:num w:numId="24">
    <w:abstractNumId w:val="36"/>
  </w:num>
  <w:num w:numId="25">
    <w:abstractNumId w:val="27"/>
  </w:num>
  <w:num w:numId="26">
    <w:abstractNumId w:val="27"/>
  </w:num>
  <w:num w:numId="27">
    <w:abstractNumId w:val="10"/>
  </w:num>
  <w:num w:numId="28">
    <w:abstractNumId w:val="26"/>
  </w:num>
  <w:num w:numId="29">
    <w:abstractNumId w:val="29"/>
  </w:num>
  <w:num w:numId="30">
    <w:abstractNumId w:val="27"/>
  </w:num>
  <w:num w:numId="31">
    <w:abstractNumId w:val="24"/>
  </w:num>
  <w:num w:numId="32">
    <w:abstractNumId w:val="38"/>
  </w:num>
  <w:num w:numId="33">
    <w:abstractNumId w:val="16"/>
  </w:num>
  <w:num w:numId="34">
    <w:abstractNumId w:val="35"/>
  </w:num>
  <w:num w:numId="35">
    <w:abstractNumId w:val="12"/>
  </w:num>
  <w:num w:numId="36">
    <w:abstractNumId w:val="37"/>
  </w:num>
  <w:num w:numId="37">
    <w:abstractNumId w:val="2"/>
  </w:num>
  <w:num w:numId="38">
    <w:abstractNumId w:val="22"/>
  </w:num>
  <w:num w:numId="39">
    <w:abstractNumId w:val="17"/>
  </w:num>
  <w:num w:numId="40">
    <w:abstractNumId w:val="28"/>
  </w:num>
  <w:num w:numId="41">
    <w:abstractNumId w:val="11"/>
  </w:num>
  <w:num w:numId="42">
    <w:abstractNumId w:val="28"/>
  </w:num>
  <w:num w:numId="43">
    <w:abstractNumId w:val="2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F"/>
    <w:rsid w:val="00015D54"/>
    <w:rsid w:val="000223C7"/>
    <w:rsid w:val="000278E9"/>
    <w:rsid w:val="00031956"/>
    <w:rsid w:val="0003365D"/>
    <w:rsid w:val="00035715"/>
    <w:rsid w:val="00061A4F"/>
    <w:rsid w:val="0007356F"/>
    <w:rsid w:val="00077D60"/>
    <w:rsid w:val="0008087F"/>
    <w:rsid w:val="00084FFD"/>
    <w:rsid w:val="00090C7D"/>
    <w:rsid w:val="0009494C"/>
    <w:rsid w:val="00094DA6"/>
    <w:rsid w:val="000B7FC4"/>
    <w:rsid w:val="000C7BA8"/>
    <w:rsid w:val="000E19E3"/>
    <w:rsid w:val="0011131F"/>
    <w:rsid w:val="00112F62"/>
    <w:rsid w:val="00113384"/>
    <w:rsid w:val="001218D0"/>
    <w:rsid w:val="001331B9"/>
    <w:rsid w:val="00140886"/>
    <w:rsid w:val="00142650"/>
    <w:rsid w:val="0017245D"/>
    <w:rsid w:val="001C1CCB"/>
    <w:rsid w:val="001C5D23"/>
    <w:rsid w:val="001D0093"/>
    <w:rsid w:val="001E7E77"/>
    <w:rsid w:val="001F0574"/>
    <w:rsid w:val="001F09C5"/>
    <w:rsid w:val="001F4DD9"/>
    <w:rsid w:val="001F67F6"/>
    <w:rsid w:val="0020517B"/>
    <w:rsid w:val="00211AF0"/>
    <w:rsid w:val="00236829"/>
    <w:rsid w:val="00241A0B"/>
    <w:rsid w:val="00247C75"/>
    <w:rsid w:val="0025062F"/>
    <w:rsid w:val="0028320C"/>
    <w:rsid w:val="00291DA2"/>
    <w:rsid w:val="002A3EB6"/>
    <w:rsid w:val="002B6ABB"/>
    <w:rsid w:val="002C6E57"/>
    <w:rsid w:val="002E6898"/>
    <w:rsid w:val="00311F3D"/>
    <w:rsid w:val="003124FD"/>
    <w:rsid w:val="00336CE5"/>
    <w:rsid w:val="00344F40"/>
    <w:rsid w:val="003520C1"/>
    <w:rsid w:val="00352F85"/>
    <w:rsid w:val="00355185"/>
    <w:rsid w:val="00391C5D"/>
    <w:rsid w:val="003931C2"/>
    <w:rsid w:val="00397F6D"/>
    <w:rsid w:val="003A01B6"/>
    <w:rsid w:val="003A3160"/>
    <w:rsid w:val="003A7B61"/>
    <w:rsid w:val="003A7C41"/>
    <w:rsid w:val="003C352A"/>
    <w:rsid w:val="003C62E5"/>
    <w:rsid w:val="003D5A87"/>
    <w:rsid w:val="003F2C4F"/>
    <w:rsid w:val="00401611"/>
    <w:rsid w:val="00405DAB"/>
    <w:rsid w:val="00416BAB"/>
    <w:rsid w:val="004177B7"/>
    <w:rsid w:val="0043052C"/>
    <w:rsid w:val="00431E26"/>
    <w:rsid w:val="0043335A"/>
    <w:rsid w:val="004518FC"/>
    <w:rsid w:val="00464141"/>
    <w:rsid w:val="004662CD"/>
    <w:rsid w:val="004708BA"/>
    <w:rsid w:val="0048292D"/>
    <w:rsid w:val="00483369"/>
    <w:rsid w:val="00492E6D"/>
    <w:rsid w:val="00493818"/>
    <w:rsid w:val="004B5A9B"/>
    <w:rsid w:val="004C2D50"/>
    <w:rsid w:val="004D5A5D"/>
    <w:rsid w:val="004E6361"/>
    <w:rsid w:val="004E64C6"/>
    <w:rsid w:val="004E6C1A"/>
    <w:rsid w:val="004F4E7E"/>
    <w:rsid w:val="00505AF1"/>
    <w:rsid w:val="00510347"/>
    <w:rsid w:val="00520DA7"/>
    <w:rsid w:val="0052776A"/>
    <w:rsid w:val="005279BF"/>
    <w:rsid w:val="005378AA"/>
    <w:rsid w:val="00537EAE"/>
    <w:rsid w:val="005607E4"/>
    <w:rsid w:val="005658F4"/>
    <w:rsid w:val="005B5E08"/>
    <w:rsid w:val="005D2846"/>
    <w:rsid w:val="005D7C5A"/>
    <w:rsid w:val="0060136E"/>
    <w:rsid w:val="00611BFB"/>
    <w:rsid w:val="00612DCA"/>
    <w:rsid w:val="00622110"/>
    <w:rsid w:val="006429BA"/>
    <w:rsid w:val="00646079"/>
    <w:rsid w:val="00647074"/>
    <w:rsid w:val="00651371"/>
    <w:rsid w:val="00670491"/>
    <w:rsid w:val="006740C7"/>
    <w:rsid w:val="00684DCE"/>
    <w:rsid w:val="006A06C4"/>
    <w:rsid w:val="006A6A2B"/>
    <w:rsid w:val="006B422F"/>
    <w:rsid w:val="006B5155"/>
    <w:rsid w:val="006E5801"/>
    <w:rsid w:val="00703BD6"/>
    <w:rsid w:val="0071378E"/>
    <w:rsid w:val="00713CC2"/>
    <w:rsid w:val="00717DDD"/>
    <w:rsid w:val="00722F65"/>
    <w:rsid w:val="00723315"/>
    <w:rsid w:val="0073319E"/>
    <w:rsid w:val="007657F3"/>
    <w:rsid w:val="007727A8"/>
    <w:rsid w:val="007757C1"/>
    <w:rsid w:val="007770CF"/>
    <w:rsid w:val="00780E6D"/>
    <w:rsid w:val="00786647"/>
    <w:rsid w:val="00786AA8"/>
    <w:rsid w:val="007A39AE"/>
    <w:rsid w:val="007B3119"/>
    <w:rsid w:val="007C6394"/>
    <w:rsid w:val="007F2775"/>
    <w:rsid w:val="007F6741"/>
    <w:rsid w:val="00807E68"/>
    <w:rsid w:val="0081187F"/>
    <w:rsid w:val="00811EE9"/>
    <w:rsid w:val="00823F90"/>
    <w:rsid w:val="008266C2"/>
    <w:rsid w:val="00831721"/>
    <w:rsid w:val="00833898"/>
    <w:rsid w:val="00840DDF"/>
    <w:rsid w:val="00842657"/>
    <w:rsid w:val="00866459"/>
    <w:rsid w:val="00875439"/>
    <w:rsid w:val="0088311C"/>
    <w:rsid w:val="008918E1"/>
    <w:rsid w:val="008D1A8D"/>
    <w:rsid w:val="008D58E9"/>
    <w:rsid w:val="008F5837"/>
    <w:rsid w:val="008F5C61"/>
    <w:rsid w:val="00923136"/>
    <w:rsid w:val="00925A1A"/>
    <w:rsid w:val="00931B72"/>
    <w:rsid w:val="00956806"/>
    <w:rsid w:val="00975D89"/>
    <w:rsid w:val="00980808"/>
    <w:rsid w:val="0098762E"/>
    <w:rsid w:val="0099679F"/>
    <w:rsid w:val="009A5B7B"/>
    <w:rsid w:val="009B1C3A"/>
    <w:rsid w:val="009B2DF3"/>
    <w:rsid w:val="009B3365"/>
    <w:rsid w:val="009B56E2"/>
    <w:rsid w:val="009C2911"/>
    <w:rsid w:val="009D4672"/>
    <w:rsid w:val="009D6836"/>
    <w:rsid w:val="009D7478"/>
    <w:rsid w:val="009E253A"/>
    <w:rsid w:val="009F3AD2"/>
    <w:rsid w:val="009F3B70"/>
    <w:rsid w:val="009F7A93"/>
    <w:rsid w:val="009F7F35"/>
    <w:rsid w:val="00A1142D"/>
    <w:rsid w:val="00A125EA"/>
    <w:rsid w:val="00A20F9C"/>
    <w:rsid w:val="00A2114C"/>
    <w:rsid w:val="00A41522"/>
    <w:rsid w:val="00A71020"/>
    <w:rsid w:val="00A713B9"/>
    <w:rsid w:val="00A74BAD"/>
    <w:rsid w:val="00A95DD8"/>
    <w:rsid w:val="00A96028"/>
    <w:rsid w:val="00AA1068"/>
    <w:rsid w:val="00AA626B"/>
    <w:rsid w:val="00AE0B15"/>
    <w:rsid w:val="00AE246F"/>
    <w:rsid w:val="00AE7125"/>
    <w:rsid w:val="00AF0750"/>
    <w:rsid w:val="00B16C6F"/>
    <w:rsid w:val="00B22799"/>
    <w:rsid w:val="00B244BA"/>
    <w:rsid w:val="00B50ECA"/>
    <w:rsid w:val="00B728FE"/>
    <w:rsid w:val="00B737B1"/>
    <w:rsid w:val="00B77BC2"/>
    <w:rsid w:val="00B91305"/>
    <w:rsid w:val="00B91920"/>
    <w:rsid w:val="00B963DB"/>
    <w:rsid w:val="00BA0D74"/>
    <w:rsid w:val="00BA4D2D"/>
    <w:rsid w:val="00BA54AA"/>
    <w:rsid w:val="00BB2DC8"/>
    <w:rsid w:val="00BB3678"/>
    <w:rsid w:val="00BD2202"/>
    <w:rsid w:val="00BD6B9A"/>
    <w:rsid w:val="00C00769"/>
    <w:rsid w:val="00C00D41"/>
    <w:rsid w:val="00C07DEA"/>
    <w:rsid w:val="00C1022C"/>
    <w:rsid w:val="00C1283A"/>
    <w:rsid w:val="00C23267"/>
    <w:rsid w:val="00C3728F"/>
    <w:rsid w:val="00C372AC"/>
    <w:rsid w:val="00C37C5E"/>
    <w:rsid w:val="00C534F9"/>
    <w:rsid w:val="00C53B3E"/>
    <w:rsid w:val="00C840E9"/>
    <w:rsid w:val="00C96406"/>
    <w:rsid w:val="00CA4141"/>
    <w:rsid w:val="00CB11EA"/>
    <w:rsid w:val="00CB4D06"/>
    <w:rsid w:val="00CB7DB3"/>
    <w:rsid w:val="00CC5C11"/>
    <w:rsid w:val="00CE7A46"/>
    <w:rsid w:val="00CF11B9"/>
    <w:rsid w:val="00D0509F"/>
    <w:rsid w:val="00D05CA2"/>
    <w:rsid w:val="00D117D3"/>
    <w:rsid w:val="00D37A2B"/>
    <w:rsid w:val="00D5462F"/>
    <w:rsid w:val="00D61091"/>
    <w:rsid w:val="00D860EE"/>
    <w:rsid w:val="00DA1857"/>
    <w:rsid w:val="00DA2E78"/>
    <w:rsid w:val="00DA72D1"/>
    <w:rsid w:val="00DC10AB"/>
    <w:rsid w:val="00DC4B0D"/>
    <w:rsid w:val="00DD76C9"/>
    <w:rsid w:val="00DF198B"/>
    <w:rsid w:val="00DF75DE"/>
    <w:rsid w:val="00E0581C"/>
    <w:rsid w:val="00E239A5"/>
    <w:rsid w:val="00E26A2C"/>
    <w:rsid w:val="00E31519"/>
    <w:rsid w:val="00E640B1"/>
    <w:rsid w:val="00E646F1"/>
    <w:rsid w:val="00E66C5A"/>
    <w:rsid w:val="00E706E0"/>
    <w:rsid w:val="00E71865"/>
    <w:rsid w:val="00E728E9"/>
    <w:rsid w:val="00E7390D"/>
    <w:rsid w:val="00E834FE"/>
    <w:rsid w:val="00EB2F9C"/>
    <w:rsid w:val="00EB418B"/>
    <w:rsid w:val="00EC732A"/>
    <w:rsid w:val="00EC7F20"/>
    <w:rsid w:val="00EE0731"/>
    <w:rsid w:val="00EE73AB"/>
    <w:rsid w:val="00EF08CE"/>
    <w:rsid w:val="00F01016"/>
    <w:rsid w:val="00F03C11"/>
    <w:rsid w:val="00F150C1"/>
    <w:rsid w:val="00F30D56"/>
    <w:rsid w:val="00F311B4"/>
    <w:rsid w:val="00F34FE9"/>
    <w:rsid w:val="00F50855"/>
    <w:rsid w:val="00F7102B"/>
    <w:rsid w:val="00F81197"/>
    <w:rsid w:val="00F820AF"/>
    <w:rsid w:val="00FD4E92"/>
    <w:rsid w:val="00FE50D8"/>
    <w:rsid w:val="00FE6419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B40DA9"/>
  <w15:docId w15:val="{1A3EA213-D5AC-455F-B1C1-7E17B584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6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A93"/>
    <w:pPr>
      <w:numPr>
        <w:numId w:val="40"/>
      </w:numPr>
      <w:contextualSpacing/>
      <w:jc w:val="right"/>
      <w:outlineLvl w:val="0"/>
    </w:pPr>
    <w:rPr>
      <w:rFonts w:asciiTheme="majorHAnsi" w:eastAsiaTheme="majorEastAsia" w:hAnsiTheme="majorHAnsi" w:cs="Arial"/>
      <w:bCs/>
      <w:noProof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C5A"/>
    <w:pPr>
      <w:numPr>
        <w:ilvl w:val="1"/>
        <w:numId w:val="40"/>
      </w:numPr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PolicyHeading1"/>
    <w:next w:val="Normal"/>
    <w:link w:val="Heading3Char"/>
    <w:uiPriority w:val="9"/>
    <w:unhideWhenUsed/>
    <w:qFormat/>
    <w:rsid w:val="0052776A"/>
    <w:pPr>
      <w:numPr>
        <w:ilvl w:val="2"/>
        <w:numId w:val="40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3C11"/>
    <w:pPr>
      <w:numPr>
        <w:ilvl w:val="3"/>
        <w:numId w:val="4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3C11"/>
    <w:pPr>
      <w:numPr>
        <w:ilvl w:val="4"/>
        <w:numId w:val="40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3C11"/>
    <w:pPr>
      <w:numPr>
        <w:ilvl w:val="5"/>
        <w:numId w:val="40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3C11"/>
    <w:pPr>
      <w:numPr>
        <w:ilvl w:val="6"/>
        <w:numId w:val="40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3C11"/>
    <w:pPr>
      <w:numPr>
        <w:ilvl w:val="7"/>
        <w:numId w:val="40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3C11"/>
    <w:pPr>
      <w:numPr>
        <w:ilvl w:val="8"/>
        <w:numId w:val="40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A93"/>
    <w:rPr>
      <w:rFonts w:asciiTheme="majorHAnsi" w:eastAsiaTheme="majorEastAsia" w:hAnsiTheme="majorHAnsi" w:cs="Arial"/>
      <w:bCs/>
      <w:noProof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C5A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776A"/>
    <w:rPr>
      <w:rFonts w:ascii="Arial" w:eastAsia="Times New Roman" w:hAnsi="Arial" w:cs="Times New Roman"/>
      <w:b/>
      <w:noProof/>
      <w:sz w:val="24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C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C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C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C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C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C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3C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3C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C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3C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F03C11"/>
    <w:rPr>
      <w:b/>
      <w:bCs/>
    </w:rPr>
  </w:style>
  <w:style w:type="character" w:styleId="Emphasis">
    <w:name w:val="Emphasis"/>
    <w:uiPriority w:val="20"/>
    <w:qFormat/>
    <w:rsid w:val="00F03C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03C11"/>
  </w:style>
  <w:style w:type="paragraph" w:styleId="ListParagraph">
    <w:name w:val="List Paragraph"/>
    <w:basedOn w:val="Normal"/>
    <w:uiPriority w:val="34"/>
    <w:qFormat/>
    <w:rsid w:val="0052776A"/>
    <w:pPr>
      <w:numPr>
        <w:numId w:val="23"/>
      </w:numPr>
      <w:autoSpaceDE w:val="0"/>
      <w:autoSpaceDN w:val="0"/>
      <w:adjustRightInd w:val="0"/>
      <w:spacing w:after="120"/>
    </w:pPr>
    <w:rPr>
      <w:rFonts w:cs="Arial"/>
      <w:b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F03C1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3C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3C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3C11"/>
    <w:rPr>
      <w:b/>
      <w:bCs/>
      <w:i/>
      <w:iCs/>
    </w:rPr>
  </w:style>
  <w:style w:type="character" w:styleId="SubtleEmphasis">
    <w:name w:val="Subtle Emphasis"/>
    <w:uiPriority w:val="19"/>
    <w:qFormat/>
    <w:rsid w:val="00F03C11"/>
    <w:rPr>
      <w:i/>
      <w:iCs/>
    </w:rPr>
  </w:style>
  <w:style w:type="character" w:styleId="IntenseEmphasis">
    <w:name w:val="Intense Emphasis"/>
    <w:uiPriority w:val="21"/>
    <w:qFormat/>
    <w:rsid w:val="00F03C11"/>
    <w:rPr>
      <w:b/>
      <w:bCs/>
    </w:rPr>
  </w:style>
  <w:style w:type="character" w:styleId="SubtleReference">
    <w:name w:val="Subtle Reference"/>
    <w:uiPriority w:val="31"/>
    <w:qFormat/>
    <w:rsid w:val="00F03C11"/>
    <w:rPr>
      <w:smallCaps/>
    </w:rPr>
  </w:style>
  <w:style w:type="character" w:styleId="IntenseReference">
    <w:name w:val="Intense Reference"/>
    <w:uiPriority w:val="32"/>
    <w:qFormat/>
    <w:rsid w:val="00F03C11"/>
    <w:rPr>
      <w:smallCaps/>
      <w:spacing w:val="5"/>
      <w:u w:val="single"/>
    </w:rPr>
  </w:style>
  <w:style w:type="character" w:styleId="BookTitle">
    <w:name w:val="Book Title"/>
    <w:uiPriority w:val="33"/>
    <w:qFormat/>
    <w:rsid w:val="00F03C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3C11"/>
    <w:pPr>
      <w:numPr>
        <w:numId w:val="0"/>
      </w:numPr>
      <w:outlineLvl w:val="9"/>
    </w:pPr>
  </w:style>
  <w:style w:type="paragraph" w:customStyle="1" w:styleId="Default">
    <w:name w:val="Default"/>
    <w:rsid w:val="005D28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Header">
    <w:name w:val="header"/>
    <w:basedOn w:val="Default"/>
    <w:next w:val="Default"/>
    <w:link w:val="HeaderChar"/>
    <w:uiPriority w:val="99"/>
    <w:rsid w:val="005D2846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5D2846"/>
    <w:rPr>
      <w:rFonts w:ascii="Arial" w:hAnsi="Arial" w:cs="Arial"/>
      <w:sz w:val="24"/>
      <w:szCs w:val="24"/>
      <w:lang w:bidi="ar-SA"/>
    </w:rPr>
  </w:style>
  <w:style w:type="character" w:styleId="Hyperlink">
    <w:name w:val="Hyperlink"/>
    <w:basedOn w:val="DefaultParagraphFont"/>
    <w:rsid w:val="005D2846"/>
    <w:rPr>
      <w:color w:val="0000FF"/>
      <w:u w:val="single"/>
    </w:rPr>
  </w:style>
  <w:style w:type="paragraph" w:customStyle="1" w:styleId="PolicyHeading1">
    <w:name w:val="Policy Heading 1"/>
    <w:basedOn w:val="Heading1"/>
    <w:next w:val="Heading1"/>
    <w:autoRedefine/>
    <w:rsid w:val="0052776A"/>
    <w:pPr>
      <w:keepNext/>
      <w:numPr>
        <w:numId w:val="0"/>
      </w:numPr>
      <w:spacing w:before="240" w:after="240"/>
      <w:contextualSpacing w:val="0"/>
      <w:jc w:val="center"/>
    </w:pPr>
    <w:rPr>
      <w:rFonts w:ascii="Arial" w:eastAsia="Times New Roman" w:hAnsi="Arial" w:cs="Times New Roman"/>
      <w:b/>
      <w:bCs w:val="0"/>
      <w:sz w:val="24"/>
      <w:szCs w:val="20"/>
      <w:lang w:bidi="ar-SA"/>
    </w:rPr>
  </w:style>
  <w:style w:type="table" w:styleId="TableGrid">
    <w:name w:val="Table Grid"/>
    <w:basedOn w:val="TableNormal"/>
    <w:uiPriority w:val="59"/>
    <w:rsid w:val="0071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12F62"/>
    <w:rPr>
      <w:rFonts w:eastAsia="Times New Roman" w:cs="Times New Roman"/>
      <w:b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12F62"/>
    <w:rPr>
      <w:rFonts w:ascii="Arial" w:eastAsia="Times New Roman" w:hAnsi="Arial" w:cs="Times New Roman"/>
      <w:b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7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8BA"/>
  </w:style>
  <w:style w:type="character" w:styleId="CommentReference">
    <w:name w:val="annotation reference"/>
    <w:basedOn w:val="DefaultParagraphFont"/>
    <w:uiPriority w:val="99"/>
    <w:semiHidden/>
    <w:unhideWhenUsed/>
    <w:rsid w:val="00BA0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246F"/>
  </w:style>
  <w:style w:type="paragraph" w:customStyle="1" w:styleId="ListParagraph2">
    <w:name w:val="List Paragraph 2"/>
    <w:basedOn w:val="ListParagraph"/>
    <w:qFormat/>
    <w:rsid w:val="00B737B1"/>
    <w:pPr>
      <w:numPr>
        <w:ilvl w:val="1"/>
      </w:numPr>
      <w:spacing w:after="60"/>
      <w:ind w:left="900" w:hanging="540"/>
    </w:pPr>
    <w:rPr>
      <w:b w:val="0"/>
    </w:rPr>
  </w:style>
  <w:style w:type="paragraph" w:customStyle="1" w:styleId="Listparagraphbullet">
    <w:name w:val="List paragraph bullet"/>
    <w:basedOn w:val="ListParagraph2"/>
    <w:qFormat/>
    <w:rsid w:val="00AA626B"/>
    <w:pPr>
      <w:numPr>
        <w:ilvl w:val="0"/>
        <w:numId w:val="2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64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io.policy@ocio.wa.gov?subject=Innovation%20Exemp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berlyc\Application%20Data\Microsoft\Templates\OCIO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OCIO policy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Providing Quality Assurance</vt:lpstr>
    </vt:vector>
  </TitlesOfParts>
  <Company>Office of Financial Management, State of Washington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Providing Quality Assurance</dc:title>
  <dc:subject>OCIO Policy</dc:subject>
  <dc:creator>kimberlyc</dc:creator>
  <cp:keywords>QA</cp:keywords>
  <cp:lastModifiedBy>Langen, Sue (WaTech)</cp:lastModifiedBy>
  <cp:revision>2</cp:revision>
  <cp:lastPrinted>2014-01-24T23:03:00Z</cp:lastPrinted>
  <dcterms:created xsi:type="dcterms:W3CDTF">2018-02-14T17:44:00Z</dcterms:created>
  <dcterms:modified xsi:type="dcterms:W3CDTF">2018-02-14T17:44:00Z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